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E0" w:rsidRDefault="00FA6E92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ТИПОВОЕ СОГЛАШЕНИЕ</w:t>
      </w:r>
    </w:p>
    <w:p w:rsidR="001219E0" w:rsidRDefault="00FA6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с юридическими и физическими лицами </w:t>
      </w:r>
      <w:bookmarkStart w:id="0" w:name="_GoBack"/>
      <w:bookmarkEnd w:id="0"/>
    </w:p>
    <w:p w:rsidR="001219E0" w:rsidRDefault="00FA6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(включая лиц, использующие леса), на основании которого осуществляется привлечение и использование сил и средств для борьбы с лесными пожарами</w:t>
      </w:r>
    </w:p>
    <w:p w:rsidR="001219E0" w:rsidRDefault="00FA6E92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</w:t>
      </w:r>
    </w:p>
    <w:p w:rsidR="001219E0" w:rsidRDefault="00FA6E9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Сыктывкар                                                                               «   » ______ 202_ года</w:t>
      </w:r>
      <w:r>
        <w:rPr>
          <w:sz w:val="28"/>
          <w:szCs w:val="28"/>
        </w:rPr>
        <w:tab/>
        <w:t xml:space="preserve"> </w:t>
      </w:r>
    </w:p>
    <w:p w:rsidR="001219E0" w:rsidRDefault="001219E0">
      <w:pPr>
        <w:rPr>
          <w:sz w:val="28"/>
          <w:szCs w:val="28"/>
        </w:rPr>
      </w:pP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Государственное автономное учреждение Республики Коми «Коми региональный лесопожарный центр»</w:t>
      </w:r>
      <w:r>
        <w:rPr>
          <w:sz w:val="28"/>
          <w:szCs w:val="28"/>
        </w:rPr>
        <w:t xml:space="preserve">, именуемое в дальнейшем «Учреждение», в лице директора Рябова Виталия Владимировича, действующего на основании Устава,  </w:t>
      </w:r>
    </w:p>
    <w:p w:rsidR="001219E0" w:rsidRDefault="00FA6E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_____________________________________________________________________________________</w:t>
      </w:r>
      <w:r>
        <w:rPr>
          <w:sz w:val="28"/>
          <w:szCs w:val="28"/>
        </w:rPr>
        <w:t xml:space="preserve">, именуемое в дальнейшем «Арендатор», в лице ___________________________________________, действующего на основании ________,   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Государственное учреждение «____________ лесничество», именуемое в дальнейшем «Лесничество», в лице _______________________, действующего на основании Устава, совместно именуемые «Стороны» заключили настоящее соглашение о нижеследующем: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19E0" w:rsidRDefault="00FA6E92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соглашения.</w:t>
      </w:r>
    </w:p>
    <w:p w:rsidR="001219E0" w:rsidRDefault="001219E0">
      <w:pPr>
        <w:ind w:left="720"/>
        <w:jc w:val="center"/>
        <w:rPr>
          <w:b/>
          <w:bCs/>
          <w:sz w:val="28"/>
          <w:szCs w:val="28"/>
        </w:rPr>
      </w:pPr>
    </w:p>
    <w:p w:rsidR="001219E0" w:rsidRDefault="00FA6E92">
      <w:pPr>
        <w:widowControl w:val="0"/>
        <w:shd w:val="clear" w:color="auto" w:fill="FFFFFF"/>
        <w:tabs>
          <w:tab w:val="left" w:pos="12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Предметом настоящего Соглашения является привлечение и использование сил и средств Арендатора для борьбы с лесными пожарами (далее – силы и средства).</w:t>
      </w:r>
    </w:p>
    <w:p w:rsidR="001219E0" w:rsidRDefault="001219E0">
      <w:pPr>
        <w:widowControl w:val="0"/>
        <w:shd w:val="clear" w:color="auto" w:fill="FFFFFF"/>
        <w:tabs>
          <w:tab w:val="left" w:pos="1267"/>
        </w:tabs>
        <w:ind w:firstLine="709"/>
        <w:jc w:val="both"/>
        <w:rPr>
          <w:sz w:val="28"/>
          <w:szCs w:val="28"/>
        </w:rPr>
      </w:pPr>
    </w:p>
    <w:p w:rsidR="001219E0" w:rsidRDefault="00FA6E92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219E0" w:rsidRDefault="001219E0">
      <w:pPr>
        <w:ind w:left="720"/>
        <w:jc w:val="center"/>
        <w:rPr>
          <w:b/>
          <w:bCs/>
          <w:sz w:val="28"/>
          <w:szCs w:val="28"/>
        </w:rPr>
      </w:pPr>
    </w:p>
    <w:p w:rsidR="001219E0" w:rsidRDefault="00FA6E92">
      <w:pPr>
        <w:widowControl w:val="0"/>
        <w:shd w:val="clear" w:color="auto" w:fill="FFFFFF"/>
        <w:tabs>
          <w:tab w:val="left" w:pos="123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2.1. Силы и средства привлекаются в случаях, определённых настоящим Соглашением, а в случаях, не урегулированных Соглашением, законодательством Российской Федерации.</w:t>
      </w:r>
    </w:p>
    <w:p w:rsidR="001219E0" w:rsidRDefault="00FA6E92">
      <w:pPr>
        <w:ind w:right="14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2.2. </w:t>
      </w:r>
      <w:r>
        <w:rPr>
          <w:color w:val="000000"/>
          <w:spacing w:val="-1"/>
          <w:sz w:val="28"/>
          <w:szCs w:val="28"/>
        </w:rPr>
        <w:t>Привлечение сил и средств осуществляется на основании решения Оперативного штаба Лесничества (далее – Оперативный штаб)</w:t>
      </w:r>
      <w:r>
        <w:rPr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Оперативный штаб создается решением руководителя Лесничества ежегодно до начала пожароопасного сезона и действует до его окончания.</w:t>
      </w:r>
    </w:p>
    <w:p w:rsidR="001219E0" w:rsidRDefault="00FA6E92">
      <w:pPr>
        <w:ind w:right="1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>
        <w:rPr>
          <w:color w:val="000000"/>
          <w:spacing w:val="-1"/>
          <w:sz w:val="28"/>
          <w:szCs w:val="28"/>
        </w:rPr>
        <w:t>Максимально возможный состав сил и средств, в том числе техники и оборудования, которые могут быть привлечены для тушения лесных пожаров, определены в Приложении к настоящему Соглашению.</w:t>
      </w:r>
    </w:p>
    <w:p w:rsidR="001219E0" w:rsidRDefault="00FA6E92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Учреждение в соответствии с решением Оперативного штаба осуществляет оформление договорных отношений с Арендатором.</w:t>
      </w:r>
    </w:p>
    <w:p w:rsidR="001219E0" w:rsidRDefault="00FA6E92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color w:val="000000"/>
          <w:spacing w:val="-1"/>
          <w:sz w:val="28"/>
          <w:szCs w:val="28"/>
        </w:rPr>
        <w:t xml:space="preserve">После получения решения Оперативного штаба, </w:t>
      </w:r>
      <w:r>
        <w:rPr>
          <w:sz w:val="28"/>
          <w:szCs w:val="28"/>
        </w:rPr>
        <w:t xml:space="preserve">Арендатор </w:t>
      </w:r>
      <w:r>
        <w:rPr>
          <w:color w:val="000000"/>
          <w:spacing w:val="-1"/>
          <w:sz w:val="28"/>
          <w:szCs w:val="28"/>
        </w:rPr>
        <w:t>должен обеспечить: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предоставление личного состава команды, обученного по охране труда и технике безопасности при проведении работ по тушению лесных пожаров, методам, способам и тактике тушения лесных пожаров; 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- укомплектование личного состава команды средствами индивидуальной и коллективной защиты, продуктами питания, оборудованием и средствами пожаротушения; 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предоставление техники к тушению лесных пожаров с водителем (трактористом, бульдозеристом и т.п.), находящейся в готовности, обеспечивающей возможность ее немедленного использования.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2.6. Координация действий сил и средств, а также взаимодействие их с подразделениями </w:t>
      </w:r>
      <w:r>
        <w:rPr>
          <w:sz w:val="28"/>
          <w:szCs w:val="28"/>
        </w:rPr>
        <w:t>Учреждения</w:t>
      </w:r>
      <w:r>
        <w:rPr>
          <w:color w:val="000000"/>
          <w:spacing w:val="-1"/>
          <w:sz w:val="28"/>
          <w:szCs w:val="28"/>
        </w:rPr>
        <w:t xml:space="preserve"> обеспечивается через региональную диспетчерскую службу лесного хозяйства Республики Коми (далее - РДС). 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2.7. Непосредственное руководство силами и средствами осуществляет</w:t>
      </w:r>
      <w:r>
        <w:rPr>
          <w:color w:val="000000"/>
          <w:spacing w:val="-1"/>
          <w:sz w:val="28"/>
          <w:szCs w:val="28"/>
        </w:rPr>
        <w:br/>
        <w:t>руководитель тушения лесного пожара.</w:t>
      </w:r>
    </w:p>
    <w:p w:rsidR="001219E0" w:rsidRDefault="00FA6E92">
      <w:pPr>
        <w:shd w:val="clear" w:color="auto" w:fill="FFFFFF"/>
        <w:tabs>
          <w:tab w:val="left" w:pos="1238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2.8. Решение о возвращении привлеченных сил и средств в места</w:t>
      </w:r>
      <w:r>
        <w:rPr>
          <w:color w:val="000000"/>
          <w:spacing w:val="-1"/>
          <w:sz w:val="28"/>
          <w:szCs w:val="28"/>
        </w:rPr>
        <w:br/>
        <w:t>постоянной дислокации принимает Оперативный штаб.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2.9. Учреждение и Лесничество оказывают Арендатору содействие и иную помощь при тушении лесных пожаров, а также контролируют выполнение Арендатором работ по тушению лесных пожаров.</w:t>
      </w:r>
    </w:p>
    <w:p w:rsidR="001219E0" w:rsidRDefault="00FA6E9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2.10. Работы по настоящему соглашению выполняются в соответствии с приказом Министерства природных ресурсов и экологии Российской Федерации от 01.04.2022 № 244 «Об утверждении Правил тушения лесных пожаров».</w:t>
      </w:r>
    </w:p>
    <w:p w:rsidR="001219E0" w:rsidRDefault="001219E0">
      <w:pPr>
        <w:jc w:val="both"/>
        <w:rPr>
          <w:sz w:val="28"/>
          <w:szCs w:val="28"/>
        </w:rPr>
      </w:pPr>
    </w:p>
    <w:p w:rsidR="001219E0" w:rsidRDefault="00FA6E92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сторон.</w:t>
      </w:r>
    </w:p>
    <w:p w:rsidR="001219E0" w:rsidRDefault="00FA6E92">
      <w:pPr>
        <w:numPr>
          <w:ilvl w:val="1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Арендатор обязан:</w:t>
      </w:r>
    </w:p>
    <w:p w:rsidR="001219E0" w:rsidRDefault="00FA6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своевременно принимать меры по тушению лесных пожаров</w:t>
      </w:r>
      <w:r>
        <w:rPr>
          <w:sz w:val="28"/>
          <w:szCs w:val="28"/>
        </w:rPr>
        <w:t>;</w:t>
      </w:r>
    </w:p>
    <w:p w:rsidR="001219E0" w:rsidRDefault="00FA6E92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 согласованию сторон в письменной либо в устной форме осуществлять доставку сил и средств Арендатора средствами Учреждения, в том числе авиационными. 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</w:t>
      </w:r>
      <w:r>
        <w:rPr>
          <w:bCs/>
          <w:sz w:val="28"/>
          <w:szCs w:val="28"/>
        </w:rPr>
        <w:t xml:space="preserve">нформировать </w:t>
      </w:r>
      <w:r>
        <w:rPr>
          <w:sz w:val="28"/>
          <w:szCs w:val="28"/>
        </w:rPr>
        <w:t>Учреждение и Лесничество о направленных на пожар силах и средствах, времени начала тушения, локализации и ликвидации пожара, оперативную информацию о ходе тушения лесных пожаров, а также о том, достаточно ли для обеспечения тушения пожара имеющихся у Арендатора сил и средств;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всю поступающую информацию о лесных пожарах от прочих источников, в течение 30 минут передавать </w:t>
      </w:r>
      <w:r>
        <w:rPr>
          <w:bCs/>
          <w:sz w:val="28"/>
          <w:szCs w:val="28"/>
        </w:rPr>
        <w:t>Учреждению и Лесничеству</w:t>
      </w:r>
      <w:r>
        <w:rPr>
          <w:sz w:val="28"/>
          <w:szCs w:val="28"/>
        </w:rPr>
        <w:t>, при необходимости принимать меры по их проверке;</w:t>
      </w:r>
    </w:p>
    <w:p w:rsidR="001219E0" w:rsidRDefault="00FA6E9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о</w:t>
      </w:r>
      <w:r>
        <w:rPr>
          <w:sz w:val="28"/>
          <w:szCs w:val="28"/>
        </w:rPr>
        <w:t>беспечивать готовность к тушению пожара имеющихся у Арендатора сил и средств, в случае утраты этих средств до 60 минут сообщать об этом Учреждению и Лесничеству, а также вносить предложения об их замене иными силами и средствами.</w:t>
      </w:r>
    </w:p>
    <w:p w:rsidR="001219E0" w:rsidRDefault="00FA6E9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3.2. Учреждение обязано:</w:t>
      </w:r>
    </w:p>
    <w:p w:rsidR="001219E0" w:rsidRDefault="00FA6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- осуществлять координацию действий сил и средств, а также взаимодействие их с другими участниками тушения;</w:t>
      </w:r>
    </w:p>
    <w:p w:rsidR="001219E0" w:rsidRDefault="00FA6E9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направлять Арендатору своих представителей для организации тушения лесных пожаров – в качестве руководителей тушения лесных пожаров (при наличии сил и средств)</w:t>
      </w:r>
      <w:r>
        <w:rPr>
          <w:sz w:val="28"/>
          <w:szCs w:val="28"/>
        </w:rPr>
        <w:t>;</w:t>
      </w:r>
    </w:p>
    <w:p w:rsidR="001219E0" w:rsidRDefault="00FA6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фиксировать объёмы выполненных Арендатором работ.</w:t>
      </w:r>
    </w:p>
    <w:p w:rsidR="001219E0" w:rsidRDefault="00FA6E9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3.3. Лесничество обязано::</w:t>
      </w:r>
    </w:p>
    <w:p w:rsidR="001219E0" w:rsidRDefault="00FA6E9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– организовать работу Оперативного штаба;</w:t>
      </w:r>
    </w:p>
    <w:p w:rsidR="001219E0" w:rsidRDefault="00FA6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- фиксировать объёмы выполненных Арендатором работ, в случае отсутствия представителя Учреждения при тушение лесного пожара;</w:t>
      </w:r>
    </w:p>
    <w:p w:rsidR="001219E0" w:rsidRDefault="00FA6E9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организовать привлечение дополнительных сил и средств на тушение лесных пожаров (в случае дополнительной заявки руководителя тушения лесного пожара или </w:t>
      </w:r>
      <w:r>
        <w:rPr>
          <w:color w:val="000000"/>
          <w:spacing w:val="-1"/>
          <w:sz w:val="28"/>
          <w:szCs w:val="28"/>
        </w:rPr>
        <w:t>через сообщение от РДС</w:t>
      </w:r>
      <w:r>
        <w:rPr>
          <w:bCs/>
          <w:sz w:val="28"/>
          <w:szCs w:val="28"/>
        </w:rPr>
        <w:t>).</w:t>
      </w:r>
    </w:p>
    <w:p w:rsidR="001219E0" w:rsidRDefault="001219E0">
      <w:pPr>
        <w:jc w:val="both"/>
        <w:rPr>
          <w:sz w:val="28"/>
          <w:szCs w:val="28"/>
        </w:rPr>
      </w:pPr>
    </w:p>
    <w:p w:rsidR="001219E0" w:rsidRDefault="00FA6E92">
      <w:pPr>
        <w:ind w:left="107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 Ответственность сторон и порядок разрешения споров.</w:t>
      </w:r>
    </w:p>
    <w:p w:rsidR="001219E0" w:rsidRDefault="001219E0">
      <w:pPr>
        <w:ind w:left="1070"/>
        <w:jc w:val="center"/>
        <w:rPr>
          <w:b/>
          <w:bCs/>
          <w:sz w:val="28"/>
          <w:szCs w:val="28"/>
        </w:rPr>
      </w:pP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Ответственность сторон за неисполнение (ненадлежащее исполнение) обязанностей устанавливается в соответствии с законодательством Российской Федерации.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Все изменения и дополнения к настоящему Соглашению совершаются в письменной форме и подписываются каждой Стороной.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219E0" w:rsidRDefault="00FA6E9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 Дополнительные условия.</w:t>
      </w:r>
    </w:p>
    <w:p w:rsidR="001219E0" w:rsidRDefault="001219E0">
      <w:pPr>
        <w:ind w:left="360"/>
        <w:jc w:val="center"/>
        <w:rPr>
          <w:b/>
          <w:bCs/>
          <w:sz w:val="28"/>
          <w:szCs w:val="28"/>
        </w:rPr>
      </w:pPr>
    </w:p>
    <w:p w:rsidR="001219E0" w:rsidRDefault="00FA6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5.1. При исполнении Соглашения Стороны руководствуются действующим законодательством Российской Федерации и Республики Коми, а также действующими Правилами пожарной безопасности в лесу, у</w:t>
      </w:r>
      <w:r>
        <w:rPr>
          <w:color w:val="000000"/>
          <w:sz w:val="28"/>
          <w:szCs w:val="28"/>
        </w:rPr>
        <w:t>твержденными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7 октября 2020 г. N 1614 «Об утверждении Правил пожарной безопасности в лесах»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>
        <w:rPr>
          <w:color w:val="000000"/>
          <w:spacing w:val="-1"/>
          <w:sz w:val="28"/>
          <w:szCs w:val="28"/>
        </w:rPr>
        <w:t xml:space="preserve">Соглашение составлено в </w:t>
      </w:r>
      <w:r>
        <w:rPr>
          <w:b/>
          <w:color w:val="000000"/>
          <w:spacing w:val="-1"/>
          <w:sz w:val="28"/>
          <w:szCs w:val="28"/>
        </w:rPr>
        <w:t>трех</w:t>
      </w:r>
      <w:r>
        <w:rPr>
          <w:color w:val="000000"/>
          <w:spacing w:val="-1"/>
          <w:sz w:val="28"/>
          <w:szCs w:val="28"/>
        </w:rPr>
        <w:t xml:space="preserve"> экземплярах, для каждой из Сторон, каждый из которых имеет одинаковую юридическую силу.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5.3. Решение Оперативного штаба направляется Арендатору и Учреждению по электронной почте, с последующим предоставлением оригинала.</w:t>
      </w:r>
    </w:p>
    <w:p w:rsidR="001219E0" w:rsidRDefault="001219E0">
      <w:pPr>
        <w:jc w:val="center"/>
        <w:rPr>
          <w:b/>
          <w:sz w:val="28"/>
          <w:szCs w:val="28"/>
        </w:rPr>
      </w:pPr>
    </w:p>
    <w:p w:rsidR="001219E0" w:rsidRDefault="00FA6E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6. Срок действия соглашения.</w:t>
      </w:r>
    </w:p>
    <w:p w:rsidR="001219E0" w:rsidRDefault="001219E0">
      <w:pPr>
        <w:jc w:val="center"/>
        <w:rPr>
          <w:b/>
          <w:bCs/>
          <w:sz w:val="28"/>
          <w:szCs w:val="28"/>
        </w:rPr>
      </w:pP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Настоящее Соглашение вступает в силу со дня его подписания и действует до 31 декабря 2026 года.</w:t>
      </w:r>
    </w:p>
    <w:p w:rsidR="001219E0" w:rsidRDefault="00FA6E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Настоящее Соглашение в любое время может быть досрочно расторгнуто по соглашению Сторон. Сторона, решившая расторгнуть Соглашение, должна уведомить в письменной форме другие стороны не менее чем за 30 (тридцать) дней.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6.3. Соглашение автоматически продлевается на каждый следующий год, если ни одна из сторон не уведомит другую о прекращении Соглашения. Уведомление должно быть сделано не позднее чем за 30 дней до истечения срока действия Соглашения.</w:t>
      </w: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FA6E9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 Юридические адреса и реквизиты Сторон</w:t>
      </w:r>
    </w:p>
    <w:p w:rsidR="001219E0" w:rsidRDefault="001219E0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040"/>
      </w:tblGrid>
      <w:tr w:rsidR="001219E0">
        <w:trPr>
          <w:trHeight w:val="2847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19E0" w:rsidRDefault="00FA6E9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Учреждение:</w:t>
            </w:r>
          </w:p>
          <w:p w:rsidR="001219E0" w:rsidRDefault="00FA6E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ГАУ РК «Коми региональный  </w:t>
            </w:r>
          </w:p>
          <w:p w:rsidR="001219E0" w:rsidRDefault="00FA6E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лесопожарный центр»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167023, Республика Коми, г. Сыктывкар, ул. Катаева, д.22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тел/факс: (8212) 39-00-72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ИНН1101486854 / КПП 110101001                                                                                                                                                     Министерство финансов Республики Коми (ГАУ РК «Коми лесопожарный центр», л/с 902D5315000)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1101486854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110101001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Расчётный счёт: 03224643870000003200</w:t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Банк: ВОЛГО-ВЯТСКОЕ ГУ БАНКА РОССИИ//УФК по Нижегородской области, г. Нижний Новгород</w:t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Корсчет: 40102810745370000024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БИК 012202102    </w:t>
            </w: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FA6E92">
            <w:pPr>
              <w:tabs>
                <w:tab w:val="left" w:pos="7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19E0" w:rsidRDefault="001219E0">
            <w:pPr>
              <w:tabs>
                <w:tab w:val="left" w:pos="757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  <w:p w:rsidR="001219E0" w:rsidRDefault="00FA6E9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   В.В. Рябов</w:t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МП</w:t>
            </w: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FA6E9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Лесничество:</w:t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 «_____________ лесничество»</w:t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тел/факс: 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                     /КПП                                                                                                                                                   </w:t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Расчётный счёт: </w:t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Банк: </w:t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Корсчет: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БИК     </w:t>
            </w: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121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 _______</w:t>
            </w:r>
          </w:p>
          <w:p w:rsidR="001219E0" w:rsidRDefault="00FA6E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19E0" w:rsidRDefault="00FA6E92">
            <w:pPr>
              <w:tabs>
                <w:tab w:val="left" w:pos="1230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Арендатор:</w:t>
            </w:r>
          </w:p>
          <w:p w:rsidR="001219E0" w:rsidRDefault="00FA6E92">
            <w:pPr>
              <w:rPr>
                <w:rStyle w:val="af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sz w:val="28"/>
                <w:szCs w:val="28"/>
              </w:rPr>
            </w:pPr>
          </w:p>
          <w:p w:rsidR="001219E0" w:rsidRDefault="001219E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219E0" w:rsidRDefault="001219E0">
            <w:pPr>
              <w:rPr>
                <w:rStyle w:val="af2"/>
                <w:color w:val="000000"/>
                <w:sz w:val="28"/>
                <w:szCs w:val="28"/>
                <w:u w:val="none"/>
              </w:rPr>
            </w:pPr>
          </w:p>
          <w:p w:rsidR="001219E0" w:rsidRDefault="00FA6E92">
            <w:pPr>
              <w:rPr>
                <w:rStyle w:val="af2"/>
                <w:color w:val="000000"/>
                <w:sz w:val="28"/>
                <w:szCs w:val="28"/>
                <w:u w:val="none"/>
              </w:rPr>
            </w:pPr>
            <w:r>
              <w:rPr>
                <w:rStyle w:val="af2"/>
                <w:color w:val="000000"/>
                <w:sz w:val="28"/>
                <w:szCs w:val="28"/>
                <w:u w:val="none"/>
              </w:rPr>
              <w:t xml:space="preserve">_____________________ </w:t>
            </w:r>
          </w:p>
          <w:p w:rsidR="001219E0" w:rsidRDefault="001219E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FA6E92">
      <w:pPr>
        <w:pStyle w:val="2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Приложение к типовой форме соглашения</w:t>
      </w: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с юридическими и физическими лицами </w:t>
      </w:r>
    </w:p>
    <w:p w:rsidR="001219E0" w:rsidRDefault="00FA6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(включая лиц, использующие леса), на основании которого осуществляется привлечение и использование сил и средств для борьбы с лесными пожарами</w:t>
      </w:r>
      <w:r>
        <w:rPr>
          <w:sz w:val="28"/>
          <w:szCs w:val="28"/>
        </w:rPr>
        <w:t xml:space="preserve"> от ______________</w:t>
      </w:r>
    </w:p>
    <w:p w:rsidR="001219E0" w:rsidRDefault="001219E0">
      <w:pPr>
        <w:shd w:val="clear" w:color="auto" w:fill="FFFFFF"/>
        <w:spacing w:line="322" w:lineRule="exact"/>
        <w:rPr>
          <w:b/>
          <w:sz w:val="28"/>
          <w:szCs w:val="28"/>
        </w:rPr>
      </w:pPr>
    </w:p>
    <w:p w:rsidR="001219E0" w:rsidRDefault="00FA6E92">
      <w:pPr>
        <w:shd w:val="clear" w:color="auto" w:fill="FFFFFF"/>
        <w:spacing w:line="322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Перечень сил и средств </w:t>
      </w:r>
      <w:r>
        <w:rPr>
          <w:b/>
          <w:bCs/>
          <w:color w:val="000000"/>
          <w:sz w:val="28"/>
          <w:szCs w:val="28"/>
        </w:rPr>
        <w:t xml:space="preserve">«Арендатора», </w:t>
      </w:r>
    </w:p>
    <w:p w:rsidR="001219E0" w:rsidRDefault="00FA6E92">
      <w:pPr>
        <w:shd w:val="clear" w:color="auto" w:fill="FFFFFF"/>
        <w:spacing w:line="322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которые могут быть привлечены для тушения лесных пожаров</w:t>
      </w:r>
    </w:p>
    <w:p w:rsidR="001219E0" w:rsidRDefault="001219E0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992"/>
        <w:gridCol w:w="3404"/>
      </w:tblGrid>
      <w:tr w:rsidR="001219E0">
        <w:trPr>
          <w:trHeight w:val="810"/>
        </w:trPr>
        <w:tc>
          <w:tcPr>
            <w:tcW w:w="5102" w:type="dxa"/>
            <w:vAlign w:val="center"/>
          </w:tcPr>
          <w:p w:rsidR="001219E0" w:rsidRDefault="00FA6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1219E0" w:rsidRDefault="00FA6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3404" w:type="dxa"/>
            <w:vAlign w:val="center"/>
          </w:tcPr>
          <w:p w:rsidR="001219E0" w:rsidRDefault="00FA6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(последнее - при наличии)</w:t>
            </w:r>
            <w:r>
              <w:rPr>
                <w:b/>
                <w:sz w:val="28"/>
                <w:szCs w:val="28"/>
              </w:rPr>
              <w:br w:type="textWrapping" w:clear="all"/>
              <w:t>ответственного за исполнение,                                            номер телефона</w:t>
            </w:r>
          </w:p>
        </w:tc>
      </w:tr>
      <w:tr w:rsidR="001219E0">
        <w:trPr>
          <w:trHeight w:val="1115"/>
        </w:trPr>
        <w:tc>
          <w:tcPr>
            <w:tcW w:w="9498" w:type="dxa"/>
            <w:gridSpan w:val="3"/>
            <w:vAlign w:val="center"/>
          </w:tcPr>
          <w:p w:rsidR="001219E0" w:rsidRDefault="00FA6E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сбора:______________________________________________________</w:t>
            </w:r>
          </w:p>
          <w:p w:rsidR="001219E0" w:rsidRDefault="00FA6E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прибытия после поступления заявки:________________________</w:t>
            </w:r>
          </w:p>
          <w:p w:rsidR="001219E0" w:rsidRDefault="001219E0">
            <w:pPr>
              <w:rPr>
                <w:sz w:val="28"/>
                <w:szCs w:val="28"/>
              </w:rPr>
            </w:pPr>
          </w:p>
        </w:tc>
      </w:tr>
      <w:tr w:rsidR="001219E0">
        <w:trPr>
          <w:trHeight w:val="305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команд / человек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570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Лесопожарные автоцистерны (лесопожарные машины),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60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Тракторы лесопожарные,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Бульдозеры,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415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Плуги лесные,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Трейлеры,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Мотопомпы,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Бензопилы,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Воздуходувки,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Зажигательные аппараты,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гусеничный,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41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колесный,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417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Пожарные автоцистерны (машины),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2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5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Вездеходы,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132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Грузовые машины,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17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Автобусы, вахтовки, шт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Легковые машины,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Тралы,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Пожарные емкости, шт. 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273"/>
        </w:trPr>
        <w:tc>
          <w:tcPr>
            <w:tcW w:w="5102" w:type="dxa"/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Ранцевые лесные огнетушители, шт.</w:t>
            </w:r>
          </w:p>
        </w:tc>
        <w:tc>
          <w:tcPr>
            <w:tcW w:w="992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03"/>
        </w:trPr>
        <w:tc>
          <w:tcPr>
            <w:tcW w:w="5102" w:type="dxa"/>
            <w:tcBorders>
              <w:bottom w:val="singl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Лопаты, шт.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bottom w:val="singl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86"/>
        </w:trPr>
        <w:tc>
          <w:tcPr>
            <w:tcW w:w="5102" w:type="dxa"/>
            <w:tcBorders>
              <w:bottom w:val="non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Топоры-мотыги, шт.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22"/>
        </w:trPr>
        <w:tc>
          <w:tcPr>
            <w:tcW w:w="510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Радиостанции УКВ-диапазона, шт. </w:t>
            </w:r>
          </w:p>
        </w:tc>
        <w:tc>
          <w:tcPr>
            <w:tcW w:w="99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22"/>
        </w:trPr>
        <w:tc>
          <w:tcPr>
            <w:tcW w:w="510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Радиостанции КВ-диапазона, шт</w:t>
            </w:r>
          </w:p>
        </w:tc>
        <w:tc>
          <w:tcPr>
            <w:tcW w:w="99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322"/>
        </w:trPr>
        <w:tc>
          <w:tcPr>
            <w:tcW w:w="510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 гусеничная техника, шт.</w:t>
            </w:r>
          </w:p>
        </w:tc>
        <w:tc>
          <w:tcPr>
            <w:tcW w:w="99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  <w:tr w:rsidR="001219E0">
        <w:trPr>
          <w:trHeight w:val="415"/>
        </w:trPr>
        <w:tc>
          <w:tcPr>
            <w:tcW w:w="510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FA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Лесопожарные катера, моторные лодки, шт</w:t>
            </w:r>
          </w:p>
        </w:tc>
        <w:tc>
          <w:tcPr>
            <w:tcW w:w="992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vMerge w:val="restart"/>
            <w:tcBorders>
              <w:bottom w:val="none" w:sz="4" w:space="0" w:color="000000"/>
            </w:tcBorders>
            <w:vAlign w:val="center"/>
          </w:tcPr>
          <w:p w:rsidR="001219E0" w:rsidRDefault="001219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19E0" w:rsidRDefault="001219E0">
      <w:pPr>
        <w:jc w:val="both"/>
        <w:rPr>
          <w:sz w:val="28"/>
          <w:szCs w:val="28"/>
        </w:rPr>
      </w:pPr>
    </w:p>
    <w:p w:rsidR="001219E0" w:rsidRDefault="00FA6E92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Учреждение:</w:t>
      </w:r>
    </w:p>
    <w:p w:rsidR="001219E0" w:rsidRDefault="00FA6E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ГАУ РК «Коми региональный  </w:t>
      </w:r>
    </w:p>
    <w:p w:rsidR="001219E0" w:rsidRDefault="00FA6E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лесопожарный центр»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167023, Республика Коми, г. Сыктывкар, ул. Катаева, д.22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тел/факс: (8212) 39-00-72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ИНН1101486854 / КПП 110101001                                                                                                                                                     Министерство финансов Республики Коми (ГАУ РК «Коми лесопожарный центр», л/с 902D5315000)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ИНН 1101486854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КПП 110101001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Расчётный счёт: 03224643870000003200</w:t>
      </w:r>
      <w:r>
        <w:rPr>
          <w:sz w:val="28"/>
          <w:szCs w:val="28"/>
        </w:rPr>
        <w:tab/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Банк: ВОЛГО-ВЯТСКОЕ ГУ БАНКА РОССИИ//УФК по Нижегородской области, г. Нижний Новгород</w:t>
      </w:r>
      <w:r>
        <w:rPr>
          <w:sz w:val="28"/>
          <w:szCs w:val="28"/>
        </w:rPr>
        <w:tab/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>Корсчет: 40102810745370000024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012202102    </w:t>
      </w:r>
    </w:p>
    <w:p w:rsidR="001219E0" w:rsidRDefault="001219E0">
      <w:pPr>
        <w:pStyle w:val="a4"/>
        <w:rPr>
          <w:rFonts w:ascii="Times New Roman" w:hAnsi="Times New Roman"/>
          <w:sz w:val="28"/>
          <w:szCs w:val="28"/>
        </w:rPr>
      </w:pPr>
    </w:p>
    <w:p w:rsidR="001219E0" w:rsidRDefault="00FA6E92">
      <w:pPr>
        <w:tabs>
          <w:tab w:val="left" w:pos="7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19E0" w:rsidRDefault="001219E0">
      <w:pPr>
        <w:tabs>
          <w:tab w:val="left" w:pos="7570"/>
        </w:tabs>
        <w:jc w:val="both"/>
        <w:rPr>
          <w:color w:val="000000"/>
          <w:spacing w:val="-1"/>
          <w:sz w:val="28"/>
          <w:szCs w:val="28"/>
        </w:rPr>
      </w:pPr>
    </w:p>
    <w:p w:rsidR="001219E0" w:rsidRDefault="00FA6E9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   В.В. Рябов</w:t>
      </w:r>
    </w:p>
    <w:p w:rsidR="001219E0" w:rsidRDefault="00FA6E9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МП</w:t>
      </w:r>
    </w:p>
    <w:p w:rsidR="001219E0" w:rsidRDefault="001219E0">
      <w:pPr>
        <w:rPr>
          <w:rFonts w:eastAsia="Calibri"/>
          <w:sz w:val="28"/>
          <w:szCs w:val="28"/>
        </w:rPr>
      </w:pPr>
    </w:p>
    <w:p w:rsidR="001219E0" w:rsidRDefault="00FA6E9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Арендатор:</w:t>
      </w: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</w:t>
      </w:r>
    </w:p>
    <w:p w:rsidR="001219E0" w:rsidRDefault="001219E0">
      <w:pPr>
        <w:pStyle w:val="a4"/>
        <w:rPr>
          <w:rFonts w:ascii="Times New Roman" w:hAnsi="Times New Roman"/>
          <w:sz w:val="28"/>
          <w:szCs w:val="28"/>
        </w:rPr>
      </w:pPr>
    </w:p>
    <w:p w:rsidR="001219E0" w:rsidRDefault="001219E0">
      <w:pPr>
        <w:pStyle w:val="a4"/>
        <w:rPr>
          <w:rFonts w:ascii="Times New Roman" w:hAnsi="Times New Roman"/>
          <w:sz w:val="28"/>
          <w:szCs w:val="28"/>
        </w:rPr>
      </w:pPr>
    </w:p>
    <w:p w:rsidR="001219E0" w:rsidRDefault="00FA6E9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Лесничество:</w:t>
      </w: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 «_____________ лесничество»</w:t>
      </w: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 xml:space="preserve">тел/факс: 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 xml:space="preserve">ИНН                      /КПП                                                                                                                                                   </w:t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 xml:space="preserve">Расчётный счёт: </w:t>
      </w:r>
      <w:r>
        <w:rPr>
          <w:sz w:val="28"/>
          <w:szCs w:val="28"/>
        </w:rPr>
        <w:tab/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>
        <w:rPr>
          <w:sz w:val="28"/>
          <w:szCs w:val="28"/>
        </w:rPr>
        <w:tab/>
      </w:r>
    </w:p>
    <w:p w:rsidR="001219E0" w:rsidRDefault="00FA6E92">
      <w:pPr>
        <w:rPr>
          <w:sz w:val="28"/>
          <w:szCs w:val="28"/>
        </w:rPr>
      </w:pPr>
      <w:r>
        <w:rPr>
          <w:sz w:val="28"/>
          <w:szCs w:val="28"/>
        </w:rPr>
        <w:t xml:space="preserve">Корсчет: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    </w:t>
      </w:r>
    </w:p>
    <w:p w:rsidR="001219E0" w:rsidRDefault="001219E0">
      <w:pPr>
        <w:pStyle w:val="a4"/>
        <w:rPr>
          <w:rFonts w:ascii="Times New Roman" w:hAnsi="Times New Roman"/>
          <w:sz w:val="28"/>
          <w:szCs w:val="28"/>
        </w:rPr>
      </w:pPr>
    </w:p>
    <w:p w:rsidR="001219E0" w:rsidRDefault="001219E0">
      <w:pPr>
        <w:pStyle w:val="a4"/>
        <w:rPr>
          <w:rFonts w:ascii="Times New Roman" w:hAnsi="Times New Roman"/>
          <w:sz w:val="28"/>
          <w:szCs w:val="28"/>
        </w:rPr>
      </w:pPr>
    </w:p>
    <w:p w:rsidR="001219E0" w:rsidRDefault="00FA6E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_______</w:t>
      </w:r>
    </w:p>
    <w:p w:rsidR="001219E0" w:rsidRDefault="00FA6E92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p w:rsidR="001219E0" w:rsidRDefault="001219E0">
      <w:pPr>
        <w:jc w:val="both"/>
        <w:rPr>
          <w:sz w:val="28"/>
          <w:szCs w:val="28"/>
        </w:rPr>
      </w:pPr>
    </w:p>
    <w:sectPr w:rsidR="001219E0">
      <w:pgSz w:w="11906" w:h="16838"/>
      <w:pgMar w:top="567" w:right="73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2F" w:rsidRDefault="007B612F">
      <w:r>
        <w:separator/>
      </w:r>
    </w:p>
  </w:endnote>
  <w:endnote w:type="continuationSeparator" w:id="0">
    <w:p w:rsidR="007B612F" w:rsidRDefault="007B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2F" w:rsidRDefault="007B612F">
      <w:r>
        <w:separator/>
      </w:r>
    </w:p>
  </w:footnote>
  <w:footnote w:type="continuationSeparator" w:id="0">
    <w:p w:rsidR="007B612F" w:rsidRDefault="007B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0C6"/>
    <w:multiLevelType w:val="multilevel"/>
    <w:tmpl w:val="0CF6A77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2F1ED6"/>
    <w:multiLevelType w:val="hybridMultilevel"/>
    <w:tmpl w:val="3D5413FA"/>
    <w:lvl w:ilvl="0" w:tplc="D76E536A">
      <w:start w:val="7"/>
      <w:numFmt w:val="decimal"/>
      <w:lvlText w:val="%1."/>
      <w:lvlJc w:val="left"/>
      <w:pPr>
        <w:ind w:left="2911" w:hanging="360"/>
      </w:pPr>
    </w:lvl>
    <w:lvl w:ilvl="1" w:tplc="A0A68BDE">
      <w:start w:val="1"/>
      <w:numFmt w:val="lowerLetter"/>
      <w:lvlText w:val="%2."/>
      <w:lvlJc w:val="left"/>
      <w:pPr>
        <w:ind w:left="3631" w:hanging="360"/>
      </w:pPr>
    </w:lvl>
    <w:lvl w:ilvl="2" w:tplc="27F8DA9E">
      <w:start w:val="1"/>
      <w:numFmt w:val="lowerRoman"/>
      <w:lvlText w:val="%3."/>
      <w:lvlJc w:val="right"/>
      <w:pPr>
        <w:ind w:left="4351" w:hanging="180"/>
      </w:pPr>
    </w:lvl>
    <w:lvl w:ilvl="3" w:tplc="68F4E65A">
      <w:start w:val="1"/>
      <w:numFmt w:val="decimal"/>
      <w:lvlText w:val="%4."/>
      <w:lvlJc w:val="left"/>
      <w:pPr>
        <w:ind w:left="5071" w:hanging="360"/>
      </w:pPr>
    </w:lvl>
    <w:lvl w:ilvl="4" w:tplc="B87E44EE">
      <w:start w:val="1"/>
      <w:numFmt w:val="lowerLetter"/>
      <w:lvlText w:val="%5."/>
      <w:lvlJc w:val="left"/>
      <w:pPr>
        <w:ind w:left="5791" w:hanging="360"/>
      </w:pPr>
    </w:lvl>
    <w:lvl w:ilvl="5" w:tplc="D5D4BAC0">
      <w:start w:val="1"/>
      <w:numFmt w:val="lowerRoman"/>
      <w:lvlText w:val="%6."/>
      <w:lvlJc w:val="right"/>
      <w:pPr>
        <w:ind w:left="6511" w:hanging="180"/>
      </w:pPr>
    </w:lvl>
    <w:lvl w:ilvl="6" w:tplc="E59E807A">
      <w:start w:val="1"/>
      <w:numFmt w:val="decimal"/>
      <w:lvlText w:val="%7."/>
      <w:lvlJc w:val="left"/>
      <w:pPr>
        <w:ind w:left="7231" w:hanging="360"/>
      </w:pPr>
    </w:lvl>
    <w:lvl w:ilvl="7" w:tplc="2CA4E97C">
      <w:start w:val="1"/>
      <w:numFmt w:val="lowerLetter"/>
      <w:lvlText w:val="%8."/>
      <w:lvlJc w:val="left"/>
      <w:pPr>
        <w:ind w:left="7951" w:hanging="360"/>
      </w:pPr>
    </w:lvl>
    <w:lvl w:ilvl="8" w:tplc="FBB053E6">
      <w:start w:val="1"/>
      <w:numFmt w:val="lowerRoman"/>
      <w:lvlText w:val="%9."/>
      <w:lvlJc w:val="right"/>
      <w:pPr>
        <w:ind w:left="8671" w:hanging="180"/>
      </w:pPr>
    </w:lvl>
  </w:abstractNum>
  <w:abstractNum w:abstractNumId="2" w15:restartNumberingAfterBreak="0">
    <w:nsid w:val="16543C58"/>
    <w:multiLevelType w:val="multilevel"/>
    <w:tmpl w:val="9C96D83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7572C5C"/>
    <w:multiLevelType w:val="multilevel"/>
    <w:tmpl w:val="E9FE673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AF00C58"/>
    <w:multiLevelType w:val="hybridMultilevel"/>
    <w:tmpl w:val="5F3CE994"/>
    <w:lvl w:ilvl="0" w:tplc="8050015A">
      <w:start w:val="1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51EAE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E2F0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CCE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5C8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2CA2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8829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4E8E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FC3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6C17E5"/>
    <w:multiLevelType w:val="hybridMultilevel"/>
    <w:tmpl w:val="B6382478"/>
    <w:lvl w:ilvl="0" w:tplc="50DEB2F6">
      <w:start w:val="7"/>
      <w:numFmt w:val="decimal"/>
      <w:lvlText w:val="%1."/>
      <w:lvlJc w:val="left"/>
      <w:pPr>
        <w:ind w:left="720" w:hanging="360"/>
      </w:pPr>
    </w:lvl>
    <w:lvl w:ilvl="1" w:tplc="3CD044B2">
      <w:start w:val="1"/>
      <w:numFmt w:val="lowerLetter"/>
      <w:lvlText w:val="%2."/>
      <w:lvlJc w:val="left"/>
      <w:pPr>
        <w:ind w:left="1440" w:hanging="360"/>
      </w:pPr>
    </w:lvl>
    <w:lvl w:ilvl="2" w:tplc="F65A6F08">
      <w:start w:val="1"/>
      <w:numFmt w:val="lowerRoman"/>
      <w:lvlText w:val="%3."/>
      <w:lvlJc w:val="right"/>
      <w:pPr>
        <w:ind w:left="2160" w:hanging="180"/>
      </w:pPr>
    </w:lvl>
    <w:lvl w:ilvl="3" w:tplc="E75EA51E">
      <w:start w:val="1"/>
      <w:numFmt w:val="decimal"/>
      <w:lvlText w:val="%4."/>
      <w:lvlJc w:val="left"/>
      <w:pPr>
        <w:ind w:left="2880" w:hanging="360"/>
      </w:pPr>
    </w:lvl>
    <w:lvl w:ilvl="4" w:tplc="FBB4EF4E">
      <w:start w:val="1"/>
      <w:numFmt w:val="lowerLetter"/>
      <w:lvlText w:val="%5."/>
      <w:lvlJc w:val="left"/>
      <w:pPr>
        <w:ind w:left="3600" w:hanging="360"/>
      </w:pPr>
    </w:lvl>
    <w:lvl w:ilvl="5" w:tplc="1478808C">
      <w:start w:val="1"/>
      <w:numFmt w:val="lowerRoman"/>
      <w:lvlText w:val="%6."/>
      <w:lvlJc w:val="right"/>
      <w:pPr>
        <w:ind w:left="4320" w:hanging="180"/>
      </w:pPr>
    </w:lvl>
    <w:lvl w:ilvl="6" w:tplc="DCCE5E74">
      <w:start w:val="1"/>
      <w:numFmt w:val="decimal"/>
      <w:lvlText w:val="%7."/>
      <w:lvlJc w:val="left"/>
      <w:pPr>
        <w:ind w:left="5040" w:hanging="360"/>
      </w:pPr>
    </w:lvl>
    <w:lvl w:ilvl="7" w:tplc="FF52A800">
      <w:start w:val="1"/>
      <w:numFmt w:val="lowerLetter"/>
      <w:lvlText w:val="%8."/>
      <w:lvlJc w:val="left"/>
      <w:pPr>
        <w:ind w:left="5760" w:hanging="360"/>
      </w:pPr>
    </w:lvl>
    <w:lvl w:ilvl="8" w:tplc="A3F099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0583"/>
    <w:multiLevelType w:val="multilevel"/>
    <w:tmpl w:val="7E90C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7" w15:restartNumberingAfterBreak="0">
    <w:nsid w:val="2B2B5797"/>
    <w:multiLevelType w:val="multilevel"/>
    <w:tmpl w:val="408EE3B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FB45A0C"/>
    <w:multiLevelType w:val="multilevel"/>
    <w:tmpl w:val="0C821FD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445074C"/>
    <w:multiLevelType w:val="multilevel"/>
    <w:tmpl w:val="B6C2D9B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3A8E1ABB"/>
    <w:multiLevelType w:val="multilevel"/>
    <w:tmpl w:val="B08C7EF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4579665D"/>
    <w:multiLevelType w:val="multilevel"/>
    <w:tmpl w:val="3B8A8B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2" w15:restartNumberingAfterBreak="0">
    <w:nsid w:val="4C6B78C8"/>
    <w:multiLevelType w:val="multilevel"/>
    <w:tmpl w:val="03427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5" w:hanging="51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3" w15:restartNumberingAfterBreak="0">
    <w:nsid w:val="5AB64A6B"/>
    <w:multiLevelType w:val="hybridMultilevel"/>
    <w:tmpl w:val="539872A4"/>
    <w:lvl w:ilvl="0" w:tplc="A1C22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C7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84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C4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D1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BAC2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C43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D0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40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F0137"/>
    <w:multiLevelType w:val="multilevel"/>
    <w:tmpl w:val="B0E0F256"/>
    <w:lvl w:ilvl="0">
      <w:start w:val="5"/>
      <w:numFmt w:val="decimal"/>
      <w:lvlText w:val="%1."/>
      <w:lvlJc w:val="left"/>
      <w:pPr>
        <w:ind w:left="2911" w:hanging="360"/>
      </w:pPr>
    </w:lvl>
    <w:lvl w:ilvl="1">
      <w:start w:val="4"/>
      <w:numFmt w:val="decimal"/>
      <w:lvlText w:val="%1.%2."/>
      <w:lvlJc w:val="left"/>
      <w:pPr>
        <w:ind w:left="2768" w:hanging="360"/>
      </w:pPr>
    </w:lvl>
    <w:lvl w:ilvl="2">
      <w:start w:val="1"/>
      <w:numFmt w:val="decimal"/>
      <w:lvlText w:val="%1.%2.%3."/>
      <w:lvlJc w:val="left"/>
      <w:pPr>
        <w:ind w:left="3695" w:hanging="720"/>
      </w:pPr>
    </w:lvl>
    <w:lvl w:ilvl="3">
      <w:start w:val="1"/>
      <w:numFmt w:val="decimal"/>
      <w:lvlText w:val="%1.%2.%3.%4."/>
      <w:lvlJc w:val="left"/>
      <w:pPr>
        <w:ind w:left="4262" w:hanging="720"/>
      </w:pPr>
    </w:lvl>
    <w:lvl w:ilvl="4">
      <w:start w:val="1"/>
      <w:numFmt w:val="decimal"/>
      <w:lvlText w:val="%1.%2.%3.%4.%5."/>
      <w:lvlJc w:val="left"/>
      <w:pPr>
        <w:ind w:left="5189" w:hanging="1080"/>
      </w:pPr>
    </w:lvl>
    <w:lvl w:ilvl="5">
      <w:start w:val="1"/>
      <w:numFmt w:val="decimal"/>
      <w:lvlText w:val="%1.%2.%3.%4.%5.%6."/>
      <w:lvlJc w:val="left"/>
      <w:pPr>
        <w:ind w:left="5756" w:hanging="1080"/>
      </w:pPr>
    </w:lvl>
    <w:lvl w:ilvl="6">
      <w:start w:val="1"/>
      <w:numFmt w:val="decimal"/>
      <w:lvlText w:val="%1.%2.%3.%4.%5.%6.%7."/>
      <w:lvlJc w:val="left"/>
      <w:pPr>
        <w:ind w:left="6683" w:hanging="1440"/>
      </w:pPr>
    </w:lvl>
    <w:lvl w:ilvl="7">
      <w:start w:val="1"/>
      <w:numFmt w:val="decimal"/>
      <w:lvlText w:val="%1.%2.%3.%4.%5.%6.%7.%8."/>
      <w:lvlJc w:val="left"/>
      <w:pPr>
        <w:ind w:left="7250" w:hanging="1440"/>
      </w:pPr>
    </w:lvl>
    <w:lvl w:ilvl="8">
      <w:start w:val="1"/>
      <w:numFmt w:val="decimal"/>
      <w:lvlText w:val="%1.%2.%3.%4.%5.%6.%7.%8.%9."/>
      <w:lvlJc w:val="left"/>
      <w:pPr>
        <w:ind w:left="8177" w:hanging="1800"/>
      </w:pPr>
    </w:lvl>
  </w:abstractNum>
  <w:abstractNum w:abstractNumId="15" w15:restartNumberingAfterBreak="0">
    <w:nsid w:val="6713171F"/>
    <w:multiLevelType w:val="hybridMultilevel"/>
    <w:tmpl w:val="69881CDC"/>
    <w:lvl w:ilvl="0" w:tplc="9BFC997C">
      <w:start w:val="1"/>
      <w:numFmt w:val="decimal"/>
      <w:lvlText w:val="1.%1."/>
      <w:legacy w:legacy="1" w:legacySpace="0" w:legacyIndent="0"/>
      <w:lvlJc w:val="left"/>
      <w:rPr>
        <w:rFonts w:ascii="Times New Roman" w:hAnsi="Times New Roman" w:cs="Times New Roman"/>
      </w:rPr>
    </w:lvl>
    <w:lvl w:ilvl="1" w:tplc="AA3EB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B25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98E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DA36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2E0F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5A0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926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B05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E087755"/>
    <w:multiLevelType w:val="multilevel"/>
    <w:tmpl w:val="8858FB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7" w15:restartNumberingAfterBreak="0">
    <w:nsid w:val="749B31F9"/>
    <w:multiLevelType w:val="multilevel"/>
    <w:tmpl w:val="8F04093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10"/>
  </w:num>
  <w:num w:numId="10">
    <w:abstractNumId w:val="16"/>
  </w:num>
  <w:num w:numId="11">
    <w:abstractNumId w:val="17"/>
  </w:num>
  <w:num w:numId="12">
    <w:abstractNumId w:val="2"/>
  </w:num>
  <w:num w:numId="13">
    <w:abstractNumId w:val="6"/>
  </w:num>
  <w:num w:numId="14">
    <w:abstractNumId w:val="11"/>
  </w:num>
  <w:num w:numId="15">
    <w:abstractNumId w:val="9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15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E0"/>
    <w:rsid w:val="001219E0"/>
    <w:rsid w:val="00705EA4"/>
    <w:rsid w:val="007B612F"/>
    <w:rsid w:val="00DC5A54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DEB16-4760-4D07-B341-BBB784CE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Cs w:val="2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rPr>
      <w:szCs w:val="20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fe">
    <w:name w:val="Знак Знак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5">
    <w:name w:val="Знак Знак Знак Знак Знак2"/>
    <w:basedOn w:val="a"/>
    <w:pPr>
      <w:tabs>
        <w:tab w:val="num" w:pos="1347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">
    <w:name w:val="Краткий обратный адрес"/>
    <w:basedOn w:val="a"/>
    <w:rPr>
      <w:szCs w:val="20"/>
      <w:lang w:eastAsia="ar-SA"/>
    </w:rPr>
  </w:style>
  <w:style w:type="paragraph" w:customStyle="1" w:styleId="PP">
    <w:name w:val="Строка PP"/>
    <w:basedOn w:val="aff0"/>
    <w:rPr>
      <w:szCs w:val="20"/>
      <w:lang w:eastAsia="ar-SA"/>
    </w:rPr>
  </w:style>
  <w:style w:type="paragraph" w:styleId="aff1">
    <w:name w:val="Normal Indent"/>
    <w:basedOn w:val="a"/>
    <w:pPr>
      <w:ind w:left="708"/>
    </w:pPr>
    <w:rPr>
      <w:szCs w:val="20"/>
    </w:rPr>
  </w:style>
  <w:style w:type="paragraph" w:styleId="aff0">
    <w:name w:val="Signature"/>
    <w:basedOn w:val="a"/>
    <w:link w:val="aff2"/>
    <w:pPr>
      <w:ind w:left="4252"/>
    </w:pPr>
  </w:style>
  <w:style w:type="character" w:customStyle="1" w:styleId="aff2">
    <w:name w:val="Подпись Знак"/>
    <w:link w:val="aff0"/>
    <w:rPr>
      <w:sz w:val="24"/>
      <w:szCs w:val="24"/>
    </w:rPr>
  </w:style>
  <w:style w:type="character" w:styleId="aff3">
    <w:name w:val="annotation reference"/>
    <w:rPr>
      <w:sz w:val="16"/>
      <w:szCs w:val="16"/>
    </w:rPr>
  </w:style>
  <w:style w:type="paragraph" w:styleId="aff4">
    <w:name w:val="annotation text"/>
    <w:basedOn w:val="a"/>
    <w:link w:val="aff5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</w:style>
  <w:style w:type="paragraph" w:styleId="aff6">
    <w:name w:val="annotation subject"/>
    <w:basedOn w:val="aff4"/>
    <w:next w:val="aff4"/>
    <w:link w:val="aff7"/>
    <w:rPr>
      <w:b/>
      <w:bCs/>
    </w:rPr>
  </w:style>
  <w:style w:type="character" w:customStyle="1" w:styleId="aff7">
    <w:name w:val="Тема примечания Знак"/>
    <w:link w:val="a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Hewlett-Packard Company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SergeyP</dc:creator>
  <cp:lastModifiedBy>Skrip</cp:lastModifiedBy>
  <cp:revision>2</cp:revision>
  <dcterms:created xsi:type="dcterms:W3CDTF">2026-04-22T11:47:00Z</dcterms:created>
  <dcterms:modified xsi:type="dcterms:W3CDTF">2026-04-22T11:47:00Z</dcterms:modified>
  <cp:version>1048576</cp:version>
</cp:coreProperties>
</file>